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sz w:val="25"/>
          <w:szCs w:val="25"/>
        </w:rPr>
        <w:t>ело № 2-</w:t>
      </w:r>
      <w:r>
        <w:rPr>
          <w:rStyle w:val="cat-UserDefinedgrp-25rplc-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keepNext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ИМЕНЕМ РОССИЙСКОЙ ФЕДЕРАЦИИ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(резолютивная часть)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Ханты-Мансийского автономного округа – Югры </w:t>
      </w:r>
      <w:r>
        <w:rPr>
          <w:rStyle w:val="cat-UserDefinedgrp-2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упрощенного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иску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«ЭК «Восток»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(ИНН </w:t>
      </w:r>
      <w:r>
        <w:rPr>
          <w:rStyle w:val="cat-UserDefinedgrp-27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>
        <w:rPr>
          <w:rFonts w:ascii="Times New Roman" w:eastAsia="Times New Roman" w:hAnsi="Times New Roman" w:cs="Times New Roman"/>
          <w:sz w:val="25"/>
          <w:szCs w:val="25"/>
        </w:rPr>
        <w:t>Самбурову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8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(паспорт </w:t>
      </w:r>
      <w:r>
        <w:rPr>
          <w:rStyle w:val="cat-UserDefinedgrp-29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5"/>
          <w:szCs w:val="25"/>
        </w:rPr>
        <w:t>по оплате жилищно-коммунальных услуг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 232.2, 232.4 Г</w:t>
      </w:r>
      <w:r>
        <w:rPr>
          <w:rFonts w:ascii="Times New Roman" w:eastAsia="Times New Roman" w:hAnsi="Times New Roman" w:cs="Times New Roman"/>
          <w:sz w:val="25"/>
          <w:szCs w:val="25"/>
        </w:rPr>
        <w:t>ПК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сковы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требовани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АО «ЭК «Восток»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</w:t>
      </w:r>
      <w:r>
        <w:rPr>
          <w:rFonts w:ascii="Times New Roman" w:eastAsia="Times New Roman" w:hAnsi="Times New Roman" w:cs="Times New Roman"/>
          <w:sz w:val="25"/>
          <w:szCs w:val="25"/>
        </w:rPr>
        <w:t>Самбурову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8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взыскании задолженности по оплате жилищно-коммунальных услуг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– </w:t>
      </w:r>
      <w:r>
        <w:rPr>
          <w:rStyle w:val="cat-UserDefinedgrp-30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>
        <w:rPr>
          <w:rFonts w:ascii="Times New Roman" w:eastAsia="Times New Roman" w:hAnsi="Times New Roman" w:cs="Times New Roman"/>
          <w:sz w:val="25"/>
          <w:szCs w:val="25"/>
        </w:rPr>
        <w:t>Самбуров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1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пользу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АО «ЭК «Восток»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5"/>
          <w:szCs w:val="25"/>
        </w:rPr>
        <w:t>по оплате жилищно-коммунальных услуг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(электроснабжение), предоставленных по адресу: г. Сургут, </w:t>
      </w:r>
      <w:r>
        <w:rPr>
          <w:rStyle w:val="cat-UserDefinedgrp-32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 период с 01.06.2022 по 30.11.2024 в размере </w:t>
      </w:r>
      <w:r>
        <w:rPr>
          <w:rStyle w:val="cat-UserDefinedgrp-33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пени за просрочку оплату, начисленные за период с 12.07.2022 по 30.04.2025 в размере </w:t>
      </w:r>
      <w:r>
        <w:rPr>
          <w:rStyle w:val="cat-UserDefinedgrp-34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 с последующим их начислением на сумму основного долга </w:t>
      </w:r>
      <w:r>
        <w:rPr>
          <w:rStyle w:val="cat-UserDefinedgrp-35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 по день фактической оплаты долга с учетом </w:t>
      </w:r>
      <w:r>
        <w:rPr>
          <w:rStyle w:val="cat-UserDefinedgrp-36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ставки рефинансирования Центрального банка РФ, действующей на день фактической оплаты, за каждый день неисполнения денежного обязательства, расходы по уплате государственной пошлины в размере </w:t>
      </w:r>
      <w:r>
        <w:rPr>
          <w:rStyle w:val="cat-UserDefinedgrp-37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руб., всего взыскать </w:t>
      </w:r>
      <w:r>
        <w:rPr>
          <w:rStyle w:val="cat-UserDefinedgrp-38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5"/>
          <w:szCs w:val="25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>десяти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5"/>
          <w:szCs w:val="25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пятнадцати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</w:t>
      </w:r>
      <w:r>
        <w:rPr>
          <w:rStyle w:val="cat-UserDefinedgrp-39rplc-45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2-</w:t>
      </w:r>
      <w:r>
        <w:rPr>
          <w:rStyle w:val="cat-UserDefinedgrp-40rplc-4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0">
    <w:name w:val="cat-UserDefined grp-25 rplc-0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38rplc-40">
    <w:name w:val="cat-UserDefined grp-38 rplc-40"/>
    <w:basedOn w:val="DefaultParagraphFont"/>
  </w:style>
  <w:style w:type="character" w:customStyle="1" w:styleId="cat-UserDefinedgrp-39rplc-45">
    <w:name w:val="cat-UserDefined grp-39 rplc-45"/>
    <w:basedOn w:val="DefaultParagraphFont"/>
  </w:style>
  <w:style w:type="character" w:customStyle="1" w:styleId="cat-UserDefinedgrp-40rplc-48">
    <w:name w:val="cat-UserDefined grp-4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